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6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MOTOFRETISTA – 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 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32489</TotalTime>
  <Pages>5</Pages>
  <Words>751</Words>
  <Characters>4230</Characters>
  <CharactersWithSpaces>4916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2023-09-25T16:39:18Z</dcterms:modified>
  <cp:revision>848</cp:revision>
  <dc:subject/>
  <dc:title/>
</cp:coreProperties>
</file>