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left="-1952" w:right="-602" w:hanging="0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left="-1938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>
          <w:rFonts w:eastAsia="Arial" w:cs="Arial" w:ascii="Arial" w:hAnsi="Arial"/>
          <w:b/>
          <w:sz w:val="28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eastAsia="Arial" w:cs="Arial" w:ascii="Arial" w:hAnsi="Arial"/>
          <w:b/>
          <w:sz w:val="20"/>
        </w:rPr>
        <w:t>VAGAS DISPONÍVEIS PARA O DIA18/12/2023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</w:rPr>
        <w:t xml:space="preserve">                    </w:t>
      </w:r>
      <w:r>
        <w:rPr>
          <w:rFonts w:eastAsia="Arial" w:cs="Arial" w:ascii="Arial" w:hAnsi="Arial"/>
          <w:b/>
          <w:sz w:val="20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1"/>
        <w:gridCol w:w="7319"/>
      </w:tblGrid>
      <w:tr>
        <w:trPr/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QTDE.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ASSITENTE DE ENGENHARIA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CURSANDO ENGª A PARTIR DO 6º PERIODO OU CURSO TÉCNICO EM EDIFICAÇÕES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CNH B E CONDUÇÃO P´ROPRIA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TRIBUTÁRIO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 (CARAMBEÍ)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CONTRAMESTRE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MAQUINAS AGRICOLAS – CNH B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ELETRICISTA DIESEL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MESTRE DE OBRAS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VAGA TEMPORÁRIA POR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TRUCK E BITRUCK – CNH C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CALDEIRA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MÉDIO COMPLETO – CNH B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 (CARAMBEI)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 – AMPLIAÇÃO SES CASTRO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SERVENTE DE 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 (CARAMBEI)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-MÉDIO COMPLETO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0"/>
      </w:tblGrid>
      <w:tr>
        <w:trPr/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</w:t>
            </w:r>
          </w:p>
          <w:p>
            <w:pPr>
              <w:pStyle w:val="TableContents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3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CONTÁBIL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AÇOUGUE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CURSANDO ENGENHARIA A PARTIR DO 6º PERIORO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PROPRIA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INFORMÁTICA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CHAPEIRO /CHAPISTA DE LANCHONETE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GARÇOM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LIDER DE EQUIPE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MANUTENÇÃO DE CAMINHÃO – CNH D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MÁQUINAS AGRÍCOLAS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MOTOSERRA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PARA VIAGENS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04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SOLDADOR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07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PRACISTA – MÉDIO COMPLETO – PREFERÊNCIA TÉCNICO EM AGROPECUÁRIA – FORMAÇÃO EM ÁREAS AGRÁRIAS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2"/>
      </w:tblGrid>
      <w:tr>
        <w:trPr/>
        <w:tc>
          <w:tcPr>
            <w:tcW w:w="8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SEM EXPERIÊCIA</w:t>
            </w:r>
          </w:p>
        </w:tc>
      </w:tr>
    </w:tbl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5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</w:t>
            </w:r>
            <w:r>
              <w:rPr>
                <w:b w:val="false"/>
                <w:sz w:val="18"/>
                <w:u w:val="none"/>
              </w:rPr>
              <w:t>(DESCARGA E MOVIMENTAÇÃO DE  SACARIA)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ALXILIAR DE ALMOXARIFADO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SERVIÇOS GERAIS – RURAL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CARGA E DESCARGA /HIGIÊNIZAÇÃO DE SALAS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COLETOR DE LIXO – FUNDAMENTAL COMPLETO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MOTOFRETISTA –VAGA TEMPORÁRIA POR 10 DIAS -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REFLORESTAMENTO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PARA VIAGENS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RURAL (GRANJA)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