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08/04/2024.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ALMOXARIFE – TÉCNICO, TECNÓLOGO OU GRADUAÇÃO AFINS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ANALISTA DE ATENDIMENTO JR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EXPERIÊNCIA COM VENDAS DE PRODUTOS FINANCEIROS E/OU VAREJO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ENSINO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ASSISTENTE ADMINISTRATIVO – MÉDIO COMPLETO, TÉCNICO OU SUPERIOR A FINS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EXPEDIÇÃO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HIGIENIZAÇÃO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MANUTENÇÃO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PIZZAIOLO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MECÂNICO AUTOMOTIVO -LINHA LEVE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(GUINCHO) – CNH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CAIXA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VAGA TEMPORÁRIA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ZELADOR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ATENDENTE DE BALCÃO – MÉDIO COMPLETO – CNH B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CRÉDITO E COBRANÇA – MÉDIO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DE MECÂNICA (MANUTENÇÃO) – MÉDIO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EMPREGADO DOMÉSTICO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JARDINEIRO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(CNH B -  E CARRO PRÓPRIO)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ATENDENTE DE BALCÃO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LIMPEZA – VAGA PCD – FUNDAMENTAL COMPLETO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LINHA DE PRODUÇÃO – MÉDIO COMPLETO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COLETOR DE LIXO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EMPACOTADOR, A MÃO – VAGA PCD – MÉDIO COMPLETO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 MONTADOR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LAVADOR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POLIDOR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(OPERADOR DE BRITADOR)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REPARADOR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 – VAGA TEMPORÁRIA POR 30 DIAS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TÉCNICO EM ELETROMECÂNICA – MÉDIO COMPLETO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