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10/06/2024.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ELETRICISTA.MÉDIO COMPLETO E/OU CURSO TÉCNICO ELETRICA. DESEJÁVEL HABILIDADE COM FERRAMENTAS E NR 10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EM SAÚDE BUCAL – CURSO TÉCNICO E CARTERINHA ATIVA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ELETROTÉCNICO - CURSO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PROJETISTA ELETROMECÂNICO – SUPERIOR EM ENGENHARIA ELÉTRICA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SUPERVISOR DE ELETRICISTA INDUSTRIAL – TÉCNICO EM ELETROTÉCNICA, ELETRÔNICO OU SUPERIOR EM ENGENHARIA ELÉTRICA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DE PLANEJAMENTO E PROGRAMAÇÃODE MANUTENÇÃO – SUPERIOR ENGENHARIA CIVIL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ENSINO MEDIO COMPLETO E CURSO TÉCNICO EM ELETROMECÂNICA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COM CERTIFICADO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TOPÓGRAFO – TÉCNICO PROFISSIONALIZANTE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– QUALQUER CURSO SUPERIOR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AB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FUNDAMENTAL COMPLETO – 2 VEZES POR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ENGENHEIRO CIVIL – SUPERIOR EM ENGENHARIA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MERCADORIAS  -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FUNDIARIO – TÉCNICO PROFISSIONALIZANTE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TÉCNICO NA MECÂNICA DE MÁQUINAS (A COMBUSTÃO, ELÉTRICA, ROÇADEIRA)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CARGAS – MÉDIO COMPETO – FLEXIBILIDADE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